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ЛГО-7.11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Секция ограждения для детской площадки "Счёты" без столбов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137x860x616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7.3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сосна, фанера.</w:t>
              <w:br/>
              <w:t>Комплектация: ограждение  – 1 шт., комплект крепежа – 1 шт.</w:t>
              <w:br/>
              <w:t>Секция представляет собой каркас из двух досок хвойных пород типоразмерами 20×100 мм, между которыми установлена рама со счётами. Счёты выполнены из влагостойкой фанеры толщиной 15 мм, окрашенной в разные цвета, и закреплены на двух перекладинах рамы. Каркас изготовлен из конструкционной стали: трубы Ду20 мм с толщиной стенки 2,5 мм, листа толщиной 3 мм и круга 20h9. Секция устанавливается между двумя стойками (в комплект не входят). Металл покрыт полимерным составом, фанера окрашена по системе Remmers (грунтовка и акриловая краска), пиломатериалы обработаны в три слоя — грунт, акрил и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