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ЛГУ-126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"Грани будущего"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порошковый грунт, порошковая краска, масляная пропитка.</w:t>
              <w:br/>
              <w:t>Урна представляет собой сварной металлокаркас с установленными на нем досками. </w:t>
              <w:br/>
              <w:t>Металлокаркас состоит из листового металла толщиной 2мм.</w:t>
              <w:br/>
              <w:t>Обшивка урны представлены в виде доски из лиственницы шириной 40 мм с толщиной 20 мм.</w:t>
              <w:br/>
              <w:t>Металлокаркас покрыт в 2 слоя. 1 слой – порошковый грунт, 2 слой -  порошковая краска. На доски нанесена масляная пропитка в 2 слоя. Крепление досок производится конструкционными саморезами желтый цинк М4х19.</w:t>
              <w:br/>
              <w:t>Внутрення вставка под мусор изготовлена из оцинкованной листовой стали толщиной 0,5мм.</w:t>
              <w:br/>
              <w:t/>
              <w:br/>
              <w:t>Комплектация:</w:t>
              <w:br/>
              <w:t>Урна в сборе  – 1 шт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