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ЛГИК-18.17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"Формикс" 18.17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4332x4481x2965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400.967655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 14 шт., крыша – 2 компл., полы – 1 компл., ограждающие и декоративные панели – 1 компл., горка – 2 шт., лестница – 1 шт., перекладины – 4 шт., панель скалолаза - 2 шт., горизонтальный переход - 1 шт., вертикальный подъем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2 домиков.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домика, панели скалолаза изготовлены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25х25 мм с толщиной стенки 2 мм. Переход между двумя башнями выполнен в виде горизонтального перехода из металлической круглой трубы диаметром 33,5 мм с толщиной стенки 2,8 мм.</w:t>
              <w:br/>
              <w:t/>
              <w:br/>
              <w:t/>
              <w:br/>
              <w:t>В составе игрового комплекса имеются 2 прямые горки. Горки h=1,2 м. и h=0,95 м, состоят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