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со складной крышкой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1200x1200x275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акриловая краска, металл, порошковая краска.</w:t>
              <w:br/>
              <w:t>Песочница изготовлена из высокопрочной, влагостойкой фанеры толщиной 21 мм. Фанерные конструкции окрашены в 2 слоя акриловой краски и имеют специальное покрытие - антиграффити.  </w:t>
              <w:br/>
              <w:t>С внутренней стороны по углам установлены металлические уголки сечением 32 мм х 32 мм, с толщиной стенки 4 мм и длиной 500 мм с просверленными отверстиями, диаметром 6 мм для фиксации бортов песочницы.</w:t>
              <w:br/>
              <w:t>Соединение створок (жалюзи) осуществляется при помощи «карточной» петли.</w:t>
              <w:br/>
              <w:t>Все имеющиеся металлические детали покрыты порошковой полиэфирной краской. </w:t>
              <w:br/>
              <w:t>Весь крепеж оцинкованный.</w:t>
              <w:br/>
              <w:t>Комплектация: песочница -1 компл; крышка-жалюзи - 1 компл;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