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"Семицветик"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1152x1198x465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влагостойкая березовая фанера, металл, акриловая краска, порошковая краска. Каркас столика выполнен из трубы диаметром ДУ-20 или ДУ-32. Фанерные конструкции изготовлены из высокопрочной, влагостойкой фанеры толщиной 15 мм и окрашены в два слоя акриловой краской и имеют специальное покрытие - антиграффити. Все имеющиеся металлические детали покрыты порошковой полиэфирной краской. Весь крепеж нержавеющий. </w:t>
              <w:br/>
              <w:t>Элементы столика:</w:t>
              <w:br/>
              <w:t>Рама столик "Семицветик" ширина 1070мм х длина 800мм - 1 шт</w:t>
              <w:br/>
              <w:t>Сиденье Семицветик ширина 250мм х длина 250мм (синий) - 1 шт.</w:t>
              <w:br/>
              <w:t>Столешница Семицветик ширина 700мм х 700мм(синий) - 1 шт.</w:t>
              <w:br/>
              <w:t>Сиденье Семицветик ширина 250мм х длина 250мм (желтый) - 2 шт.</w:t>
              <w:br/>
              <w:t>Сиденье Семицветик ширина 250мм х длина 250мм (оранжевый) - 2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