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"Ландыш"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3100x4400x2500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Дерево, металл, лак, пластик HPL, порошковая краска.</w:t>
              <w:br/>
              <w:t>Комплекс состоит из 14 столбов круглого сечения диаметром 130 мм . </w:t>
              <w:br/>
              <w:t>Все столбы выполнены из хвойных пород дерева. Все столбы отшлифованы. Обработанные поверхности покрыты тонированным и бесцветным лаком.</w:t>
              <w:br/>
              <w:t>Игровой комплекс состоит из трех башен с двускатными крышами, соединенных между собой канатным переходом и наклонным трапом. В состав комплекса также входят горка, два круглых лаза, игровые панели «Счет», «Лабиринт с мышкой», «Лабиринт» с ползунками.</w:t>
              <w:br/>
              <w:t>В комплексе установлена горка из нержавеющей стали  толщиной 2,0 мм с высотой стартовой площадки 730 мм с боковыми ограждениями стартовой площадки.</w:t>
              <w:br/>
              <w:t>Верхние кромки бортов защищены круглой трубкой из нержавеющей стали диаметром 26,9 мм с толщиной стенки 2 мм. Стартовая площадка горки имеет горизонтально-расположенную перекладину диаметром 26,9 мм, выполненную из нержавеющей стали, которая не позволяет детям выбегать на скат.   </w:t>
              <w:br/>
              <w:t>Рамы под полы площадок и трапа выполнены из металлического профиля 25х40 мм.</w:t>
              <w:br/>
              <w:t>Полы площадок и трапа изготовлены из высокопрочной влагостойкой ламинированной березовой фанеры толщиной 15 мм с антискользящим покрытием. На трап дополнительно установлены ступени из HPL пластика. </w:t>
              <w:br/>
              <w:t>Ограждения трапа выполнены из нержавеющей стали. Перила представляют собой трубу диаметром 32 мм из нержавеющей стали, перемычки – трубы диаметром 26,9 мм из нержавеющей стали. Две скругленные ручки диаметром 26,9 мм, установленные на столбах также выполнены из нержавеющей стали.</w:t>
              <w:br/>
              <w:t>Канатный переход выполнен из армированного полипропиленового каната диаметром 16 мм.</w:t>
              <w:br/>
              <w:t>Полиэстер, входящий в состав плетеного каната, стойкий к ультрафиолетовому излучению.</w:t>
              <w:br/>
              <w:t>Для соединения пересечений плетения сетки используются пластиковые цельнолитые Т-образные и яйцеобразные соединители. Ступени перехода составные и изготовлены из высокопрочной влагостойкой ламинированной березовой фанеры толщиной 15 мм с антискользящим покрытием.</w:t>
              <w:br/>
              <w:t>Заполнения, скаты и фронтоны крыш выполнены из бумажно-слоистого пластика HPL толщиной 8 мм бежевого и салатового цвета. На одно заполнение фрезерованием нанесено изображение лабиринта с мышкой, на двух других дорожки с бегунками.</w:t>
              <w:br/>
              <w:t>Все рамы окрашены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