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1530x2810x2040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107.57858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HPL пластик, металл,  нержавеющий крепеж.</w:t>
              <w:br/>
              <w:t>Комплектация: закладные детали  – 1 компл., опорные стойки – 9 шт., крыша – 1 компл., ограждающие и декоративные панели – 1 компл., игровая панель "фигуры"– 1 шт., игровая панель "Магазин"– 1 шт., игровая панель "счеты" - 1 шт., декоративный элемент "звезда" - 1 шт., счеты – 2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 и подпорка крыши изготовлены из круглой трубы диаметром 33,5 мм с толщиной стенки 2,8 мм. 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Игровая панель "Магазин" с вырезом для столика выполнена из влагостойкой березовой фанеры толщиной 18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