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ЛГИК-17.15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"Маверикс" 17.15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2130x2875x2985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322.4264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8 шт., крыша – 1 компл., полы – 1 компл., ограждающие и декоративные панели – 1 компл., декоративный элемент "звезда" - 1 шт., игровая панель "фигуры"– 1 шт., горка – 1 шт., лестница - 1 шт., панель лаза– 1 шт., перекладины – 1 шт., ручка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3 платформ.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комплекса и панель лаза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Металлическая перекладина, перила и подпорка крыши изготовлены из круглой трубы диаметром 33,5 мм с толщиной стенки 2,8 мм. Ручка изготовлена из круглой трубы 26,8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>Игровая панель "Фигуры" выполнена из панели, изготовленной из влагостойкой фанеры толщиной 18 мм. Геометрические фигуры на панели изготовлены из  влагостойкой фанеры толщиной 18 мм.</w:t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