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ЛГСП-31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для настольных игр со стульями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900x1970x900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дерево, порошковая краска, лак.</w:t>
              <w:br/>
              <w:t>Ножка столешницы и опорная ножка каркаса стульев выполнены из металлической круглой трубы диаметром 76 мм с толщиной стенки 3,5 мм. </w:t>
              <w:br/>
              <w:t>Каркасы стульев выполнены из металлической круглой трубы диаметром 26,8 мм с толщиной стенки 2,8 мм.</w:t>
              <w:br/>
              <w:t>Столешница, спинки и сидение стульев выполнены из высокопрочной влагостойкой березовой фанеры толщиной 21 мм. Все элементы, выполненные из фанеры отшлифованы, кромки скруглены. Обработанные поверхности покрыты тонированным и бесцветным лаком.</w:t>
              <w:br/>
              <w:t>Выступающие части резьбовых соединений закрыты колпачковыми гайками.</w:t>
              <w:br/>
              <w:t>Покрытие металла - порошковая полиэфирная краска .</w:t>
              <w:br/>
              <w:t>Весь резьбовой крепеж оцинкованный.</w:t>
              <w:br/>
              <w:t>Комплектация: стол – 1 компл; стул – 2 компл;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