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ЛГСД-05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Скамейка разноуровневая "Гусеница"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312x2479x556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25.059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Скамейка разноуровневая "Гусеница". Состоит из металлического цельносварного каркаса, изготовленного из металлических труб Ду32 и равнополочного уголка ширина 40 мм длина 40 мм толщина 4мм, восьми сидений и декоративной панели, изготовленных из фанеры  2/2 толщиной 15мм и  22/2 толщиной 9мм . Окраска металла производится полимерной краской, окраска фанеры производится полимерной краской. Все открытые части труб закрываются пластиковыми заглушками, крепежи закрыты пластиковыми заглушками М6 мм. Установка закладных производится на глубину 0,3м с последующим бетонированием. Масса 27 кг.</w:t>
              <w:br/>
              <w:t>Элементы бревна Гусеницы:</w:t>
              <w:br/>
              <w:t>Разновысокое бревно Гусеница-1  - 1 шт.</w:t>
              <w:br/>
              <w:t>Сидения из фанеры -8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