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"Рахманинов"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3333x4035x3007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287.26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8 шт., крыши – 1 компл., полы – 1 компл.,  горка прямая h=1,5м – 1 шт.,  ограждающие и декоративные панели – 1 компл., доска для рисования – 1 шт., лестница с декоративными панелями – 1 шт.,  балкон со штурвалом – 1 шт., наклонная канатная сетка – 1 шт., панель "Цветы" - 1шт., панель "Наперегонки" - 1 шт., перекладины - 2 шт., ручки - 2 шт., 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1 башни, горки, канатного трапа и лестницы на опорных стойках. Полы расположены на разных уровнях.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Крыша башни двускатная, выполнена из HPL пластика, рисунок наносится методом гравировки.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/>
              <w:br/>
              <w:t>В составе игрового комплекса имеется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