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MG0432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2165x3485x785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255.43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</w:t>
              <w:br/>
              <w:t>Доска лиственница, металл, нержавеющая сталь, нержавеющий крепеж.</w:t>
              <w:br/>
              <w:t>Комплектация:</w:t>
              <w:br/>
              <w:t>Горка - 1 шт.</w:t>
              <w:br/>
              <w:t>Малый каркас - 2 шт.</w:t>
              <w:br/>
              <w:t>Средний каркас - 1 шт.</w:t>
              <w:br/>
              <w:t>Большой полукаркас 1 - 2 шт.</w:t>
              <w:br/>
              <w:t>Большой  полукаркас 2 - 2 шт.</w:t>
              <w:br/>
              <w:t>Комплект обшивных досок - 1 шт.</w:t>
              <w:br/>
              <w:t>Игровой комплекс состоит из горки и 5 разноуровневых платформ. Платформы представляют собой металлокаркас, обшитый досками лиственницы. Разноуровневые платформы обеспечивают свободный доступ со всех сторон для разных возрастных групп. </w:t>
              <w:br/>
              <w:t>Все доски лиственницы имеют скругление R3, для недопущения острых углов.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