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ЛГК-252.2Р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Двойная рама качелей для больших подвесов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1460x3495x2640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128.161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4 опор из металлических круглых труб и перекладины, закрепленной между ними. Трубы круглого сечения диаметром 89мм с толщиной стенки 3мм.Окраска металла производится полимерной краской.</w:t>
              <w:br/>
              <w:t>Все открытые части труб и болтовых соединений закрываются пластиковыми заглушками.</w:t>
              <w:br/>
              <w:t>Элементы рамы:</w:t>
              <w:br/>
              <w:t>Опорный столб – 4 шт.</w:t>
              <w:br/>
              <w:t>Перекладина – 1 шт.</w:t>
              <w:br/>
              <w:t>Крепеж для подвеса – 2 компл.</w:t>
              <w:br/>
              <w:t>Комплект крепежа – 1 шт.</w:t>
              <w:br/>
              <w:t>Заглушка 89 мм - 4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