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ЛГС-48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Стенка для рисования мелом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300x1050x1500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лак.</w:t>
              <w:br/>
              <w:t>Игровой элемент состоит из 4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проходит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заглушками.</w:t>
              <w:br/>
              <w:t>В основании опорных столбов установлены закладные элементы, выполненные из металла толщиной 4 мм, длинной 700 мм, в разрезе имеющих форму уголка, с шириной полки 84 мм. Все подпятники окрашены порошковой краской. </w:t>
              <w:br/>
              <w:t>Доска для рисования выполнена из высокопрочной влагостойкой фанеры толщиной 15 мм и закрепляется с обеих сторон между двумя стойками. Под доской для рисования располагается полочка из влагостойкой фанеры толщиной 21 мм.</w:t>
              <w:br/>
              <w:t>Комплектация:</w:t>
              <w:br/>
              <w:t>Столбы – 4 шт; доска для рисования – 1 шт., полочка – 1 шт.,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