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"Иридий"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5447x9208x5898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1 компл., горка прямая h=0,7м – 1 шт., горка прямая h=1,5м – 1 шт., опоры винтовой горки – 2 шт., винтовая горка – 1 шт.,  металлические сетчатые ограждения - 6 шт., вертикальные деревянные ограждения - 2 шт., ограждающие и декоративные панели – 1 компл., доска для рисования – 1 шт., лестница-стремянка – 1 шт., балкон со штурвалом– 1 шт.,  дугообразная вертикальная канатная сетка – 1 шт., канатный мост – 1 шт., перекладина -  6шт., ручки - 8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и разноразмерных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</w:t>
              <w:br/>
              <w:t>Сбоку низкой башни установлена вертикальная канатная сетка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имеются 2 прямые горки h=0,7 м и h=1,5 м и 1 винтовая туннельная горка. Прямые горки h=0,7 м 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