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"Тербий"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4290x4954x2917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610.454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15 шт., крыши – 2 компл., полы – 1 компл., наклонный канатный трап – 1 шт., горка прямая h=1,2м – 1 шт., металлические перила – 4 шт.,  ограждающие и декоративные панели – 1 компл., столик – 1 шт., балкон – 1 шт., балкон со штурвалом  – 1 шт.,  панель "Счеты" - 1шт.,  скамья - 1 шт., панель "Лавка" -1шт., панель "Фрукты" - 1шт., элемент "Кто кого съест?" - 1шт., ручка - 2 шт., стяжка - 2шт.,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наклонная канатная сетка из шестипрядного армированного полипропиленового каната d=16 мм.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