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"Аурум"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3840x5922x2917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524.039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15 шт., крыши – 2 компл., полы – 2 компл., панель скалолаза с зацепами – 1 шт., горка прямая h=1,2м – 1 шт.,  ограждающие и декоративные панели – 1 компл., доска для рисования – 1 шт., балкон со штурвалом – 1 шт., балкон дуговой – 1 шт.,  вертикальная канатная сетка – 1 шт., поручни - 9 шт., панель "Кто кого съест?"- 1шт., панель "Фрукты" - 1шт., панель "Не дай себя поймать" - 1 шт., панель"Фигуры" -1шт., панель"Цветовой диск" -1шт., панель "География"-1шт., панель "Лавка"-1шт.,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разноуровневых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вертикальной канатной сетки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мм. </w:t>
              <w:br/>
              <w:t/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</w:t>
              <w:br/>
              <w:t>- панели скалолаза с зацепами, изготовленные из ламинированной фанеры толщиной 18 мм с антискользящим покрытием.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фанеры толщиной 24 мм., ступени изготовлены из ламинированной фанеры толщиной 18 мм с антискользящим покрытием. Перила изготовлены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>В составе игрового комплекса имеются 1 прямая горка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оборудованы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